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99F1" w14:textId="77777777" w:rsidR="00C55754" w:rsidRPr="00C55754" w:rsidRDefault="00C55754" w:rsidP="00C5575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Cs w:val="24"/>
        </w:rPr>
      </w:pPr>
    </w:p>
    <w:p w14:paraId="5B4078C2" w14:textId="5FCCE1AF" w:rsidR="00C55754" w:rsidRPr="00C55754" w:rsidRDefault="00C55754" w:rsidP="00C5575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Cs w:val="24"/>
        </w:rPr>
      </w:pPr>
      <w:r w:rsidRPr="00C55754">
        <w:rPr>
          <w:rFonts w:ascii="Arial" w:eastAsiaTheme="minorHAnsi" w:hAnsi="Arial" w:cs="Arial"/>
          <w:szCs w:val="24"/>
        </w:rPr>
        <w:t xml:space="preserve">Bringing </w:t>
      </w:r>
      <w:r w:rsidR="00E50BE2">
        <w:rPr>
          <w:rFonts w:ascii="Arial" w:eastAsiaTheme="minorHAnsi" w:hAnsi="Arial" w:cs="Arial"/>
          <w:szCs w:val="24"/>
        </w:rPr>
        <w:t>clarity</w:t>
      </w:r>
      <w:r w:rsidRPr="00C55754">
        <w:rPr>
          <w:rFonts w:ascii="Arial" w:eastAsiaTheme="minorHAnsi" w:hAnsi="Arial" w:cs="Arial"/>
          <w:szCs w:val="24"/>
        </w:rPr>
        <w:t xml:space="preserve"> to the marketing madness</w:t>
      </w:r>
      <w:r w:rsidRPr="00C55754">
        <w:rPr>
          <w:rFonts w:ascii="Arial" w:eastAsiaTheme="minorHAnsi" w:hAnsi="Arial" w:cs="Arial"/>
          <w:szCs w:val="24"/>
        </w:rPr>
        <w:t>, and technobabble</w:t>
      </w:r>
      <w:r>
        <w:rPr>
          <w:rFonts w:ascii="Arial" w:eastAsiaTheme="minorHAnsi" w:hAnsi="Arial" w:cs="Arial"/>
          <w:szCs w:val="24"/>
        </w:rPr>
        <w:t xml:space="preserve"> </w:t>
      </w:r>
      <w:r w:rsidRPr="00C55754">
        <w:rPr>
          <w:rFonts w:ascii="Arial" w:eastAsiaTheme="minorHAnsi" w:hAnsi="Arial" w:cs="Arial"/>
          <w:szCs w:val="24"/>
        </w:rPr>
        <w:t xml:space="preserve">that surrounds </w:t>
      </w:r>
      <w:r>
        <w:rPr>
          <w:rFonts w:ascii="Arial" w:eastAsiaTheme="minorHAnsi" w:hAnsi="Arial" w:cs="Arial"/>
          <w:szCs w:val="24"/>
        </w:rPr>
        <w:t>E</w:t>
      </w:r>
      <w:r w:rsidRPr="00C55754">
        <w:rPr>
          <w:rFonts w:ascii="Arial" w:eastAsiaTheme="minorHAnsi" w:hAnsi="Arial" w:cs="Arial"/>
          <w:szCs w:val="24"/>
        </w:rPr>
        <w:t xml:space="preserve">nterprise </w:t>
      </w:r>
      <w:r>
        <w:rPr>
          <w:rFonts w:ascii="Arial" w:eastAsiaTheme="minorHAnsi" w:hAnsi="Arial" w:cs="Arial"/>
          <w:szCs w:val="24"/>
        </w:rPr>
        <w:t>A</w:t>
      </w:r>
      <w:r w:rsidRPr="00C55754">
        <w:rPr>
          <w:rFonts w:ascii="Arial" w:eastAsiaTheme="minorHAnsi" w:hAnsi="Arial" w:cs="Arial"/>
          <w:szCs w:val="24"/>
        </w:rPr>
        <w:t xml:space="preserve">rchitecture, this helpful, no-nonsense </w:t>
      </w:r>
      <w:r w:rsidR="00B25FA4">
        <w:rPr>
          <w:rFonts w:ascii="Arial" w:eastAsiaTheme="minorHAnsi" w:hAnsi="Arial" w:cs="Arial"/>
          <w:szCs w:val="24"/>
        </w:rPr>
        <w:t>C</w:t>
      </w:r>
      <w:r>
        <w:rPr>
          <w:rFonts w:ascii="Arial" w:eastAsiaTheme="minorHAnsi" w:hAnsi="Arial" w:cs="Arial"/>
          <w:szCs w:val="24"/>
        </w:rPr>
        <w:t>-</w:t>
      </w:r>
      <w:r w:rsidR="00B25FA4">
        <w:rPr>
          <w:rFonts w:ascii="Arial" w:eastAsiaTheme="minorHAnsi" w:hAnsi="Arial" w:cs="Arial"/>
          <w:szCs w:val="24"/>
        </w:rPr>
        <w:t>S</w:t>
      </w:r>
      <w:r>
        <w:rPr>
          <w:rFonts w:ascii="Arial" w:eastAsiaTheme="minorHAnsi" w:hAnsi="Arial" w:cs="Arial"/>
          <w:szCs w:val="24"/>
        </w:rPr>
        <w:t xml:space="preserve">uite </w:t>
      </w:r>
      <w:r w:rsidRPr="00C55754">
        <w:rPr>
          <w:rFonts w:ascii="Arial" w:eastAsiaTheme="minorHAnsi" w:hAnsi="Arial" w:cs="Arial"/>
          <w:szCs w:val="24"/>
        </w:rPr>
        <w:t>briefing sheds</w:t>
      </w:r>
      <w:r w:rsidRPr="00C55754">
        <w:rPr>
          <w:rFonts w:ascii="Arial" w:eastAsiaTheme="minorHAnsi" w:hAnsi="Arial" w:cs="Arial"/>
          <w:szCs w:val="24"/>
        </w:rPr>
        <w:t xml:space="preserve"> light on this poorly understood </w:t>
      </w:r>
      <w:r w:rsidR="003D7D93">
        <w:rPr>
          <w:rFonts w:ascii="Arial" w:eastAsiaTheme="minorHAnsi" w:hAnsi="Arial" w:cs="Arial"/>
          <w:szCs w:val="24"/>
        </w:rPr>
        <w:t xml:space="preserve">yet vitally important </w:t>
      </w:r>
      <w:r w:rsidRPr="00C55754">
        <w:rPr>
          <w:rFonts w:ascii="Arial" w:eastAsiaTheme="minorHAnsi" w:hAnsi="Arial" w:cs="Arial"/>
          <w:szCs w:val="24"/>
        </w:rPr>
        <w:t xml:space="preserve">topic.  </w:t>
      </w:r>
      <w:r w:rsidRPr="00C55754">
        <w:rPr>
          <w:rFonts w:ascii="Arial" w:eastAsiaTheme="minorHAnsi" w:hAnsi="Arial" w:cs="Arial"/>
          <w:szCs w:val="24"/>
        </w:rPr>
        <w:t>The briefing helps</w:t>
      </w:r>
      <w:r w:rsidRPr="00C55754">
        <w:rPr>
          <w:rFonts w:ascii="Arial" w:eastAsiaTheme="minorHAnsi" w:hAnsi="Arial" w:cs="Arial"/>
          <w:szCs w:val="24"/>
        </w:rPr>
        <w:t xml:space="preserve"> business executives and technology </w:t>
      </w:r>
      <w:r w:rsidRPr="00C55754">
        <w:rPr>
          <w:rFonts w:ascii="Arial" w:eastAsiaTheme="minorHAnsi" w:hAnsi="Arial" w:cs="Arial"/>
          <w:szCs w:val="24"/>
        </w:rPr>
        <w:t xml:space="preserve">management </w:t>
      </w:r>
      <w:r w:rsidRPr="00C55754">
        <w:rPr>
          <w:rFonts w:ascii="Arial" w:eastAsiaTheme="minorHAnsi" w:hAnsi="Arial" w:cs="Arial"/>
          <w:szCs w:val="24"/>
        </w:rPr>
        <w:t xml:space="preserve">professionals </w:t>
      </w:r>
      <w:r w:rsidRPr="00C55754">
        <w:rPr>
          <w:rFonts w:ascii="Arial" w:eastAsiaTheme="minorHAnsi" w:hAnsi="Arial" w:cs="Arial"/>
          <w:szCs w:val="24"/>
        </w:rPr>
        <w:t xml:space="preserve">understand </w:t>
      </w:r>
      <w:r w:rsidRPr="00C55754">
        <w:rPr>
          <w:rFonts w:ascii="Arial" w:eastAsiaTheme="minorHAnsi" w:hAnsi="Arial" w:cs="Arial"/>
          <w:szCs w:val="24"/>
        </w:rPr>
        <w:t xml:space="preserve">the </w:t>
      </w:r>
      <w:r w:rsidRPr="00C55754">
        <w:rPr>
          <w:rFonts w:ascii="Arial" w:eastAsiaTheme="minorHAnsi" w:hAnsi="Arial" w:cs="Arial"/>
          <w:szCs w:val="24"/>
        </w:rPr>
        <w:t xml:space="preserve">value of REAL Enterprise Architecture, and the </w:t>
      </w:r>
      <w:r w:rsidRPr="00C55754">
        <w:rPr>
          <w:rFonts w:ascii="Arial" w:eastAsiaTheme="minorHAnsi" w:hAnsi="Arial" w:cs="Arial"/>
          <w:szCs w:val="24"/>
        </w:rPr>
        <w:t>process of building an enterprise architecture appropriate to their organization’s needs</w:t>
      </w:r>
      <w:r w:rsidRPr="00C55754">
        <w:rPr>
          <w:rFonts w:ascii="Arial" w:eastAsiaTheme="minorHAnsi" w:hAnsi="Arial" w:cs="Arial"/>
          <w:szCs w:val="24"/>
        </w:rPr>
        <w:t xml:space="preserve">, that </w:t>
      </w:r>
      <w:r w:rsidRPr="00C55754">
        <w:rPr>
          <w:rFonts w:ascii="Arial" w:eastAsiaTheme="minorHAnsi" w:hAnsi="Arial" w:cs="Arial"/>
          <w:szCs w:val="24"/>
        </w:rPr>
        <w:t>enable</w:t>
      </w:r>
      <w:r w:rsidRPr="00C55754">
        <w:rPr>
          <w:rFonts w:ascii="Arial" w:eastAsiaTheme="minorHAnsi" w:hAnsi="Arial" w:cs="Arial"/>
          <w:szCs w:val="24"/>
        </w:rPr>
        <w:t>s</w:t>
      </w:r>
      <w:r w:rsidRPr="00C55754">
        <w:rPr>
          <w:rFonts w:ascii="Arial" w:eastAsiaTheme="minorHAnsi" w:hAnsi="Arial" w:cs="Arial"/>
          <w:szCs w:val="24"/>
        </w:rPr>
        <w:t xml:space="preserve"> the business strategy.</w:t>
      </w:r>
    </w:p>
    <w:p w14:paraId="53658BE2" w14:textId="77777777" w:rsidR="00C55754" w:rsidRPr="00C55754" w:rsidRDefault="00C55754" w:rsidP="00C5575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Cs w:val="24"/>
        </w:rPr>
      </w:pPr>
    </w:p>
    <w:p w14:paraId="79B43C08" w14:textId="4B722477" w:rsidR="00C55754" w:rsidRPr="00C55754" w:rsidRDefault="00C55754" w:rsidP="00C5575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Cs w:val="24"/>
        </w:rPr>
      </w:pPr>
      <w:r w:rsidRPr="00C55754">
        <w:rPr>
          <w:rFonts w:ascii="Arial" w:eastAsiaTheme="minorHAnsi" w:hAnsi="Arial" w:cs="Arial"/>
          <w:szCs w:val="24"/>
        </w:rPr>
        <w:t xml:space="preserve">Enterprise architecture is the rethinking of how business planning and information technology can support each other to achieve strategic goals.  This </w:t>
      </w:r>
      <w:r w:rsidRPr="00C55754">
        <w:rPr>
          <w:rFonts w:ascii="Arial" w:eastAsiaTheme="minorHAnsi" w:hAnsi="Arial" w:cs="Arial"/>
          <w:szCs w:val="24"/>
        </w:rPr>
        <w:t>briefing will</w:t>
      </w:r>
      <w:r w:rsidRPr="00C55754">
        <w:rPr>
          <w:rFonts w:ascii="Arial" w:eastAsiaTheme="minorHAnsi" w:hAnsi="Arial" w:cs="Arial"/>
          <w:szCs w:val="24"/>
        </w:rPr>
        <w:t xml:space="preserve"> illuminate how an organization and its stakeholders can achieve its strategic objectives</w:t>
      </w:r>
      <w:r w:rsidRPr="00C55754">
        <w:rPr>
          <w:rFonts w:ascii="Arial" w:eastAsiaTheme="minorHAnsi" w:hAnsi="Arial" w:cs="Arial"/>
          <w:szCs w:val="24"/>
        </w:rPr>
        <w:t>,</w:t>
      </w:r>
      <w:r w:rsidRPr="00C55754">
        <w:rPr>
          <w:rFonts w:ascii="Arial" w:eastAsiaTheme="minorHAnsi" w:hAnsi="Arial" w:cs="Arial"/>
          <w:szCs w:val="24"/>
        </w:rPr>
        <w:t xml:space="preserve"> through the development of a series of agile models and project initiatives.</w:t>
      </w:r>
    </w:p>
    <w:p w14:paraId="1270046E" w14:textId="77777777" w:rsidR="00C55754" w:rsidRPr="00C55754" w:rsidRDefault="00C55754" w:rsidP="00C5575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Cs w:val="24"/>
        </w:rPr>
      </w:pPr>
    </w:p>
    <w:p w14:paraId="2D99A2AD" w14:textId="19C19CF6" w:rsidR="00C55754" w:rsidRPr="00C55754" w:rsidRDefault="009E6025" w:rsidP="00C5575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 xml:space="preserve">This briefing will elaborate how Enterprise Architecture is used to enable business and technology strategy, outline a straightforward </w:t>
      </w:r>
      <w:r w:rsidR="00522C4F">
        <w:rPr>
          <w:rFonts w:ascii="Arial" w:eastAsiaTheme="minorHAnsi" w:hAnsi="Arial" w:cs="Arial"/>
          <w:szCs w:val="24"/>
        </w:rPr>
        <w:t>six-week</w:t>
      </w:r>
      <w:r>
        <w:rPr>
          <w:rFonts w:ascii="Arial" w:eastAsiaTheme="minorHAnsi" w:hAnsi="Arial" w:cs="Arial"/>
          <w:szCs w:val="24"/>
        </w:rPr>
        <w:t xml:space="preserve"> human-consumable Enterprise Architecture development process, that is field tested, and practiced by organizations around the world. </w:t>
      </w:r>
    </w:p>
    <w:p w14:paraId="6D5708DD" w14:textId="77777777" w:rsidR="009E6025" w:rsidRDefault="009E6025">
      <w:pPr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A5FF568" w14:textId="62677EFE" w:rsidR="00FF5B68" w:rsidRPr="009E6025" w:rsidRDefault="009E6025" w:rsidP="009E6025">
      <w:pPr>
        <w:jc w:val="center"/>
        <w:rPr>
          <w:rFonts w:ascii="Arial" w:hAnsi="Arial" w:cs="Arial"/>
          <w:b/>
          <w:bCs/>
          <w:szCs w:val="24"/>
        </w:rPr>
      </w:pPr>
      <w:r w:rsidRPr="009E6025">
        <w:rPr>
          <w:rFonts w:ascii="Arial" w:hAnsi="Arial" w:cs="Arial"/>
          <w:b/>
          <w:bCs/>
          <w:szCs w:val="24"/>
        </w:rPr>
        <w:lastRenderedPageBreak/>
        <w:t>Briefing Outline</w:t>
      </w:r>
    </w:p>
    <w:p w14:paraId="6E565891" w14:textId="77777777" w:rsidR="00FF5B68" w:rsidRPr="00C55754" w:rsidRDefault="00FF5B68" w:rsidP="00FF5B68">
      <w:pPr>
        <w:rPr>
          <w:rFonts w:ascii="Arial" w:hAnsi="Arial" w:cs="Arial"/>
          <w:szCs w:val="24"/>
        </w:rPr>
      </w:pPr>
    </w:p>
    <w:p w14:paraId="01909EF4" w14:textId="77777777" w:rsidR="00FF5B68" w:rsidRPr="002675E1" w:rsidRDefault="00FF5B68" w:rsidP="00FF5B68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Enterprise Architecture and the Business</w:t>
      </w:r>
    </w:p>
    <w:p w14:paraId="242E95E3" w14:textId="77777777" w:rsidR="00FF5B68" w:rsidRPr="002675E1" w:rsidRDefault="00FF5B68" w:rsidP="00FF5B68">
      <w:pPr>
        <w:numPr>
          <w:ilvl w:val="1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The Case for Change</w:t>
      </w:r>
    </w:p>
    <w:p w14:paraId="2A38F57E" w14:textId="77777777" w:rsidR="00FF5B68" w:rsidRPr="002675E1" w:rsidRDefault="00FF5B68" w:rsidP="00FF5B68">
      <w:pPr>
        <w:numPr>
          <w:ilvl w:val="1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The Concepts for Change</w:t>
      </w:r>
    </w:p>
    <w:p w14:paraId="662EA173" w14:textId="77777777" w:rsidR="00FF5B68" w:rsidRPr="002675E1" w:rsidRDefault="00FF5B68" w:rsidP="00FF5B68">
      <w:pPr>
        <w:numPr>
          <w:ilvl w:val="1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Accelerating Implementation (Business Change Implementation and Technology Change Implementation) in the Face of Accelerating Change</w:t>
      </w:r>
    </w:p>
    <w:p w14:paraId="25F4A397" w14:textId="77777777" w:rsidR="00FF5B68" w:rsidRPr="002675E1" w:rsidRDefault="00FF5B68" w:rsidP="00FF5B68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Definitions</w:t>
      </w:r>
    </w:p>
    <w:p w14:paraId="35349BBE" w14:textId="77777777" w:rsidR="00FF5B68" w:rsidRPr="002675E1" w:rsidRDefault="00FF5B68" w:rsidP="00FF5B68">
      <w:pPr>
        <w:numPr>
          <w:ilvl w:val="1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Framework</w:t>
      </w:r>
    </w:p>
    <w:p w14:paraId="3E47913B" w14:textId="77777777" w:rsidR="00FF5B68" w:rsidRPr="002675E1" w:rsidRDefault="00FF5B68" w:rsidP="00FF5B68">
      <w:pPr>
        <w:numPr>
          <w:ilvl w:val="1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Methodology</w:t>
      </w:r>
    </w:p>
    <w:p w14:paraId="5A9B49AB" w14:textId="77777777" w:rsidR="00FF5B68" w:rsidRPr="002675E1" w:rsidRDefault="00FF5B68" w:rsidP="00FF5B68">
      <w:pPr>
        <w:numPr>
          <w:ilvl w:val="1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Architecture</w:t>
      </w:r>
    </w:p>
    <w:p w14:paraId="1265F8AB" w14:textId="77777777" w:rsidR="00FF5B68" w:rsidRPr="002675E1" w:rsidRDefault="00FF5B68" w:rsidP="00FF5B68">
      <w:pPr>
        <w:numPr>
          <w:ilvl w:val="1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Implementation</w:t>
      </w:r>
    </w:p>
    <w:p w14:paraId="6D017FE6" w14:textId="77777777" w:rsidR="00FF5B68" w:rsidRPr="002675E1" w:rsidRDefault="00FF5B68" w:rsidP="00FF5B68">
      <w:pPr>
        <w:numPr>
          <w:ilvl w:val="1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Project Management</w:t>
      </w:r>
    </w:p>
    <w:p w14:paraId="6D949B34" w14:textId="77777777" w:rsidR="00FF5B68" w:rsidRPr="002675E1" w:rsidRDefault="00FF5B68" w:rsidP="00FF5B68">
      <w:pPr>
        <w:numPr>
          <w:ilvl w:val="1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Enterprise Architecture</w:t>
      </w:r>
    </w:p>
    <w:p w14:paraId="79131572" w14:textId="77777777" w:rsidR="00FF5B68" w:rsidRPr="002675E1" w:rsidRDefault="00FF5B68" w:rsidP="00FF5B68">
      <w:pPr>
        <w:numPr>
          <w:ilvl w:val="2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Architecture Models</w:t>
      </w:r>
    </w:p>
    <w:p w14:paraId="6C2AA47B" w14:textId="77777777" w:rsidR="00FF5B68" w:rsidRPr="002675E1" w:rsidRDefault="00FF5B68" w:rsidP="00FF5B68">
      <w:pPr>
        <w:numPr>
          <w:ilvl w:val="3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Motivation/Goals</w:t>
      </w:r>
    </w:p>
    <w:p w14:paraId="3AF4FC71" w14:textId="77777777" w:rsidR="00FF5B68" w:rsidRPr="002675E1" w:rsidRDefault="00FF5B68" w:rsidP="00FF5B68">
      <w:pPr>
        <w:numPr>
          <w:ilvl w:val="3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Function/Process</w:t>
      </w:r>
    </w:p>
    <w:p w14:paraId="63855B55" w14:textId="77777777" w:rsidR="00FF5B68" w:rsidRPr="002675E1" w:rsidRDefault="00FF5B68" w:rsidP="00FF5B68">
      <w:pPr>
        <w:numPr>
          <w:ilvl w:val="3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Data Groups</w:t>
      </w:r>
    </w:p>
    <w:p w14:paraId="0E0DB562" w14:textId="77777777" w:rsidR="00FF5B68" w:rsidRPr="002675E1" w:rsidRDefault="00FF5B68" w:rsidP="00FF5B68">
      <w:pPr>
        <w:numPr>
          <w:ilvl w:val="3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Organization/People</w:t>
      </w:r>
    </w:p>
    <w:p w14:paraId="3EF41A7D" w14:textId="77777777" w:rsidR="00FF5B68" w:rsidRPr="002675E1" w:rsidRDefault="00FF5B68" w:rsidP="00FF5B68">
      <w:pPr>
        <w:numPr>
          <w:ilvl w:val="3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Location/Network</w:t>
      </w:r>
    </w:p>
    <w:p w14:paraId="35A8F57E" w14:textId="77777777" w:rsidR="00FF5B68" w:rsidRPr="002675E1" w:rsidRDefault="00FF5B68" w:rsidP="00FF5B68">
      <w:pPr>
        <w:numPr>
          <w:ilvl w:val="3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Event/Timing</w:t>
      </w:r>
    </w:p>
    <w:p w14:paraId="2DDEB293" w14:textId="79B1123C" w:rsidR="00FF5B68" w:rsidRPr="002675E1" w:rsidRDefault="00FF5B68" w:rsidP="00FF5B68">
      <w:pPr>
        <w:numPr>
          <w:ilvl w:val="2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Implementation</w:t>
      </w:r>
      <w:r w:rsidRPr="002675E1">
        <w:rPr>
          <w:rFonts w:ascii="Arial" w:hAnsi="Arial" w:cs="Arial"/>
          <w:szCs w:val="24"/>
        </w:rPr>
        <w:t>/Relationship</w:t>
      </w:r>
      <w:r w:rsidRPr="002675E1">
        <w:rPr>
          <w:rFonts w:ascii="Arial" w:hAnsi="Arial" w:cs="Arial"/>
          <w:szCs w:val="24"/>
        </w:rPr>
        <w:t xml:space="preserve"> Models</w:t>
      </w:r>
    </w:p>
    <w:p w14:paraId="53757609" w14:textId="77777777" w:rsidR="00FF5B68" w:rsidRPr="002675E1" w:rsidRDefault="00FF5B68" w:rsidP="00FF5B68">
      <w:pPr>
        <w:numPr>
          <w:ilvl w:val="3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Business</w:t>
      </w:r>
    </w:p>
    <w:p w14:paraId="5C3E1FCB" w14:textId="77777777" w:rsidR="00FF5B68" w:rsidRPr="002675E1" w:rsidRDefault="00FF5B68" w:rsidP="00FF5B68">
      <w:pPr>
        <w:numPr>
          <w:ilvl w:val="3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Application</w:t>
      </w:r>
    </w:p>
    <w:p w14:paraId="5656977F" w14:textId="77777777" w:rsidR="00FF5B68" w:rsidRPr="002675E1" w:rsidRDefault="00FF5B68" w:rsidP="00FF5B68">
      <w:pPr>
        <w:numPr>
          <w:ilvl w:val="3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Implementation</w:t>
      </w:r>
    </w:p>
    <w:p w14:paraId="52FEBA6D" w14:textId="77777777" w:rsidR="00FF5B68" w:rsidRPr="002675E1" w:rsidRDefault="00FF5B68" w:rsidP="00FF5B68">
      <w:pPr>
        <w:numPr>
          <w:ilvl w:val="3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Technology</w:t>
      </w:r>
    </w:p>
    <w:p w14:paraId="1142D8E4" w14:textId="77777777" w:rsidR="00FF5B68" w:rsidRPr="002675E1" w:rsidRDefault="00FF5B68" w:rsidP="00FF5B68">
      <w:pPr>
        <w:numPr>
          <w:ilvl w:val="3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Other Common Implementation Models</w:t>
      </w:r>
    </w:p>
    <w:p w14:paraId="4C876EE1" w14:textId="77777777" w:rsidR="00FF5B68" w:rsidRPr="002675E1" w:rsidRDefault="00FF5B68" w:rsidP="00FF5B68">
      <w:pPr>
        <w:numPr>
          <w:ilvl w:val="1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“As-Is” and “Desired-State” Models</w:t>
      </w:r>
    </w:p>
    <w:p w14:paraId="02B59598" w14:textId="5682255F" w:rsidR="00FF5B68" w:rsidRPr="002675E1" w:rsidRDefault="00FF5B68" w:rsidP="00FF5B68">
      <w:pPr>
        <w:numPr>
          <w:ilvl w:val="1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Governan</w:t>
      </w:r>
      <w:r w:rsidR="00267C5C" w:rsidRPr="002675E1">
        <w:rPr>
          <w:rFonts w:ascii="Arial" w:hAnsi="Arial" w:cs="Arial"/>
          <w:szCs w:val="24"/>
        </w:rPr>
        <w:t>ce</w:t>
      </w:r>
    </w:p>
    <w:p w14:paraId="0B389242" w14:textId="30BCD1DB" w:rsidR="00FF5B68" w:rsidRPr="002675E1" w:rsidRDefault="00FF5B68" w:rsidP="00FF5B68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lastRenderedPageBreak/>
        <w:t>Demystifying Enterprise Architecture for the Non-Practitioner</w:t>
      </w:r>
    </w:p>
    <w:p w14:paraId="144F9DA3" w14:textId="77777777" w:rsidR="00FF5B68" w:rsidRPr="002675E1" w:rsidRDefault="00FF5B68" w:rsidP="00FF5B68">
      <w:pPr>
        <w:numPr>
          <w:ilvl w:val="1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The Analogies</w:t>
      </w:r>
    </w:p>
    <w:p w14:paraId="4D5F2E67" w14:textId="77777777" w:rsidR="00FF5B68" w:rsidRPr="002675E1" w:rsidRDefault="00FF5B68" w:rsidP="00FF5B68">
      <w:pPr>
        <w:numPr>
          <w:ilvl w:val="1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Justification Approaches</w:t>
      </w:r>
    </w:p>
    <w:p w14:paraId="5783F8D9" w14:textId="77777777" w:rsidR="00FF5B68" w:rsidRPr="002675E1" w:rsidRDefault="00FF5B68" w:rsidP="00FF5B68">
      <w:pPr>
        <w:numPr>
          <w:ilvl w:val="2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Value to the CEO</w:t>
      </w:r>
    </w:p>
    <w:p w14:paraId="67A3E41B" w14:textId="75D0A940" w:rsidR="00FF5B68" w:rsidRPr="002675E1" w:rsidRDefault="00FF5B68" w:rsidP="00FF5B68">
      <w:pPr>
        <w:numPr>
          <w:ilvl w:val="2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Value to the CIO</w:t>
      </w:r>
    </w:p>
    <w:p w14:paraId="1572C9AF" w14:textId="77777777" w:rsidR="00FF5B68" w:rsidRPr="002675E1" w:rsidRDefault="00FF5B68" w:rsidP="00FF5B68">
      <w:pPr>
        <w:numPr>
          <w:ilvl w:val="2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Value to Stakeholders</w:t>
      </w:r>
    </w:p>
    <w:p w14:paraId="6FB00B4C" w14:textId="77777777" w:rsidR="00FF5B68" w:rsidRPr="002675E1" w:rsidRDefault="00FF5B68" w:rsidP="00FF5B68">
      <w:pPr>
        <w:numPr>
          <w:ilvl w:val="1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What Works (and what doesn’t)</w:t>
      </w:r>
    </w:p>
    <w:p w14:paraId="4FAE62D0" w14:textId="77777777" w:rsidR="00FF5B68" w:rsidRPr="002675E1" w:rsidRDefault="00FF5B68" w:rsidP="00FF5B68">
      <w:pPr>
        <w:numPr>
          <w:ilvl w:val="1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Business Vocabulary</w:t>
      </w:r>
    </w:p>
    <w:p w14:paraId="7011974F" w14:textId="77777777" w:rsidR="00FF5B68" w:rsidRPr="002675E1" w:rsidRDefault="00FF5B68" w:rsidP="00FF5B68">
      <w:pPr>
        <w:numPr>
          <w:ilvl w:val="1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Creating an Enterprise Architecture Charter</w:t>
      </w:r>
    </w:p>
    <w:p w14:paraId="6DE6920E" w14:textId="149EA2FD" w:rsidR="00FF5B68" w:rsidRPr="002675E1" w:rsidRDefault="00FF5B68" w:rsidP="00FF5B68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The</w:t>
      </w:r>
      <w:r w:rsidRPr="002675E1">
        <w:rPr>
          <w:rFonts w:ascii="Arial" w:hAnsi="Arial" w:cs="Arial"/>
          <w:szCs w:val="24"/>
        </w:rPr>
        <w:t xml:space="preserve"> Enterprise Architecture</w:t>
      </w:r>
      <w:r w:rsidRPr="002675E1">
        <w:rPr>
          <w:rFonts w:ascii="Arial" w:hAnsi="Arial" w:cs="Arial"/>
          <w:szCs w:val="24"/>
        </w:rPr>
        <w:t xml:space="preserve"> Development Methodology</w:t>
      </w:r>
    </w:p>
    <w:p w14:paraId="417E13B4" w14:textId="77777777" w:rsidR="00FF5B68" w:rsidRPr="002675E1" w:rsidRDefault="00FF5B68" w:rsidP="00FF5B68">
      <w:pPr>
        <w:numPr>
          <w:ilvl w:val="1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Purpose of “Plan the Plan”</w:t>
      </w:r>
    </w:p>
    <w:p w14:paraId="1CC6BA88" w14:textId="77777777" w:rsidR="00FF5B68" w:rsidRPr="002675E1" w:rsidRDefault="00FF5B68" w:rsidP="00FF5B68">
      <w:pPr>
        <w:numPr>
          <w:ilvl w:val="1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Establishing Architecture Scope</w:t>
      </w:r>
    </w:p>
    <w:p w14:paraId="0EEEBA97" w14:textId="77777777" w:rsidR="00FF5B68" w:rsidRPr="002675E1" w:rsidRDefault="00FF5B68" w:rsidP="00FF5B68">
      <w:pPr>
        <w:numPr>
          <w:ilvl w:val="1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Defining Architecture Deliverables</w:t>
      </w:r>
    </w:p>
    <w:p w14:paraId="7778FBC2" w14:textId="77777777" w:rsidR="00FF5B68" w:rsidRPr="002675E1" w:rsidRDefault="00FF5B68" w:rsidP="00FF5B68">
      <w:pPr>
        <w:numPr>
          <w:ilvl w:val="1"/>
          <w:numId w:val="1"/>
        </w:numPr>
        <w:rPr>
          <w:rFonts w:ascii="Arial" w:hAnsi="Arial" w:cs="Arial"/>
          <w:szCs w:val="24"/>
        </w:rPr>
      </w:pPr>
      <w:r w:rsidRPr="002675E1">
        <w:rPr>
          <w:rFonts w:ascii="Arial" w:hAnsi="Arial" w:cs="Arial"/>
          <w:szCs w:val="24"/>
        </w:rPr>
        <w:t>Major Tasks</w:t>
      </w:r>
    </w:p>
    <w:p w14:paraId="775F378F" w14:textId="77777777" w:rsidR="002E5B68" w:rsidRPr="002675E1" w:rsidRDefault="002E5B68">
      <w:pPr>
        <w:rPr>
          <w:rFonts w:ascii="Arial" w:hAnsi="Arial" w:cs="Arial"/>
          <w:szCs w:val="24"/>
        </w:rPr>
      </w:pPr>
    </w:p>
    <w:sectPr w:rsidR="002E5B68" w:rsidRPr="002675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4ECF" w14:textId="77777777" w:rsidR="002E4393" w:rsidRDefault="002E4393" w:rsidP="009E6025">
      <w:pPr>
        <w:spacing w:after="0"/>
      </w:pPr>
      <w:r>
        <w:separator/>
      </w:r>
    </w:p>
  </w:endnote>
  <w:endnote w:type="continuationSeparator" w:id="0">
    <w:p w14:paraId="47515747" w14:textId="77777777" w:rsidR="002E4393" w:rsidRDefault="002E4393" w:rsidP="009E60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1DE6" w14:textId="213834E7" w:rsidR="00430F4B" w:rsidRPr="00430F4B" w:rsidRDefault="00430F4B" w:rsidP="00430F4B">
    <w:pPr>
      <w:pStyle w:val="Footer"/>
      <w:jc w:val="center"/>
      <w:rPr>
        <w:rFonts w:ascii="Arial" w:hAnsi="Arial" w:cs="Arial"/>
        <w:sz w:val="20"/>
      </w:rPr>
    </w:pPr>
    <w:r w:rsidRPr="00430F4B">
      <w:rPr>
        <w:rFonts w:ascii="Arial" w:hAnsi="Arial" w:cs="Arial"/>
        <w:sz w:val="20"/>
      </w:rPr>
      <w:t>(</w:t>
    </w:r>
    <w:r w:rsidRPr="00430F4B">
      <w:rPr>
        <w:rFonts w:ascii="Arial" w:hAnsi="Arial" w:cs="Arial"/>
        <w:sz w:val="20"/>
      </w:rPr>
      <w:fldChar w:fldCharType="begin"/>
    </w:r>
    <w:r w:rsidRPr="00430F4B">
      <w:rPr>
        <w:rFonts w:ascii="Arial" w:hAnsi="Arial" w:cs="Arial"/>
        <w:sz w:val="20"/>
      </w:rPr>
      <w:instrText xml:space="preserve"> FILENAME   \* MERGEFORMAT </w:instrText>
    </w:r>
    <w:r w:rsidRPr="00430F4B">
      <w:rPr>
        <w:rFonts w:ascii="Arial" w:hAnsi="Arial" w:cs="Arial"/>
        <w:sz w:val="20"/>
      </w:rPr>
      <w:fldChar w:fldCharType="separate"/>
    </w:r>
    <w:r w:rsidRPr="00430F4B">
      <w:rPr>
        <w:rFonts w:ascii="Arial" w:hAnsi="Arial" w:cs="Arial"/>
        <w:noProof/>
        <w:sz w:val="20"/>
      </w:rPr>
      <w:t>Enterprise Architecture – A One Day C-Suite Briefing.docx</w:t>
    </w:r>
    <w:r w:rsidRPr="00430F4B">
      <w:rPr>
        <w:rFonts w:ascii="Arial" w:hAnsi="Arial" w:cs="Arial"/>
        <w:sz w:val="20"/>
      </w:rPr>
      <w:fldChar w:fldCharType="end"/>
    </w:r>
    <w:r w:rsidRPr="00430F4B">
      <w:rPr>
        <w:rFonts w:ascii="Arial" w:hAnsi="Arial" w:cs="Arial"/>
        <w:sz w:val="20"/>
      </w:rPr>
      <w:t xml:space="preserve">) - © - EACOE – Page </w:t>
    </w:r>
    <w:r w:rsidRPr="00430F4B">
      <w:rPr>
        <w:rFonts w:ascii="Arial" w:hAnsi="Arial" w:cs="Arial"/>
        <w:sz w:val="20"/>
      </w:rPr>
      <w:fldChar w:fldCharType="begin"/>
    </w:r>
    <w:r w:rsidRPr="00430F4B">
      <w:rPr>
        <w:rFonts w:ascii="Arial" w:hAnsi="Arial" w:cs="Arial"/>
        <w:sz w:val="20"/>
      </w:rPr>
      <w:instrText xml:space="preserve"> PAGE   \* MERGEFORMAT </w:instrText>
    </w:r>
    <w:r w:rsidRPr="00430F4B">
      <w:rPr>
        <w:rFonts w:ascii="Arial" w:hAnsi="Arial" w:cs="Arial"/>
        <w:sz w:val="20"/>
      </w:rPr>
      <w:fldChar w:fldCharType="separate"/>
    </w:r>
    <w:r w:rsidRPr="00430F4B">
      <w:rPr>
        <w:rFonts w:ascii="Arial" w:hAnsi="Arial" w:cs="Arial"/>
        <w:noProof/>
        <w:sz w:val="20"/>
      </w:rPr>
      <w:t>1</w:t>
    </w:r>
    <w:r w:rsidRPr="00430F4B">
      <w:rPr>
        <w:rFonts w:ascii="Arial" w:hAnsi="Arial" w:cs="Arial"/>
        <w:sz w:val="20"/>
      </w:rPr>
      <w:fldChar w:fldCharType="end"/>
    </w:r>
    <w:r w:rsidRPr="00430F4B">
      <w:rPr>
        <w:rFonts w:ascii="Arial" w:hAnsi="Arial" w:cs="Arial"/>
        <w:sz w:val="20"/>
      </w:rPr>
      <w:t xml:space="preserve"> of </w:t>
    </w:r>
    <w:r w:rsidRPr="00430F4B">
      <w:rPr>
        <w:rFonts w:ascii="Arial" w:hAnsi="Arial" w:cs="Arial"/>
        <w:sz w:val="20"/>
      </w:rPr>
      <w:fldChar w:fldCharType="begin"/>
    </w:r>
    <w:r w:rsidRPr="00430F4B">
      <w:rPr>
        <w:rFonts w:ascii="Arial" w:hAnsi="Arial" w:cs="Arial"/>
        <w:sz w:val="20"/>
      </w:rPr>
      <w:instrText xml:space="preserve"> NUMPAGES   \* MERGEFORMAT </w:instrText>
    </w:r>
    <w:r w:rsidRPr="00430F4B">
      <w:rPr>
        <w:rFonts w:ascii="Arial" w:hAnsi="Arial" w:cs="Arial"/>
        <w:sz w:val="20"/>
      </w:rPr>
      <w:fldChar w:fldCharType="separate"/>
    </w:r>
    <w:r w:rsidRPr="00430F4B">
      <w:rPr>
        <w:rFonts w:ascii="Arial" w:hAnsi="Arial" w:cs="Arial"/>
        <w:noProof/>
        <w:sz w:val="20"/>
      </w:rPr>
      <w:t>3</w:t>
    </w:r>
    <w:r w:rsidRPr="00430F4B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6ED7" w14:textId="77777777" w:rsidR="002E4393" w:rsidRDefault="002E4393" w:rsidP="009E6025">
      <w:pPr>
        <w:spacing w:after="0"/>
      </w:pPr>
      <w:r>
        <w:separator/>
      </w:r>
    </w:p>
  </w:footnote>
  <w:footnote w:type="continuationSeparator" w:id="0">
    <w:p w14:paraId="29C72215" w14:textId="77777777" w:rsidR="002E4393" w:rsidRDefault="002E4393" w:rsidP="009E60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52D8" w14:textId="3FB806ED" w:rsidR="009E6025" w:rsidRDefault="009E6025">
    <w:pPr>
      <w:pStyle w:val="Header"/>
    </w:pPr>
    <w:r>
      <w:rPr>
        <w:noProof/>
      </w:rPr>
      <w:drawing>
        <wp:inline distT="0" distB="0" distL="0" distR="0" wp14:anchorId="6233EC79" wp14:editId="5B4DA8DE">
          <wp:extent cx="5943600" cy="1050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83FE7A" w14:textId="08CEE30C" w:rsidR="009E6025" w:rsidRPr="009E6025" w:rsidRDefault="009E6025" w:rsidP="009E6025">
    <w:pPr>
      <w:jc w:val="center"/>
      <w:rPr>
        <w:rFonts w:ascii="Arial" w:hAnsi="Arial" w:cs="Arial"/>
        <w:b/>
        <w:bCs/>
        <w:szCs w:val="24"/>
      </w:rPr>
    </w:pPr>
    <w:r w:rsidRPr="009E6025">
      <w:rPr>
        <w:rFonts w:ascii="Arial" w:hAnsi="Arial" w:cs="Arial"/>
        <w:b/>
        <w:bCs/>
        <w:szCs w:val="24"/>
      </w:rPr>
      <w:t xml:space="preserve">Enterprise Architecture – A One Day </w:t>
    </w:r>
    <w:r w:rsidR="003D7D93">
      <w:rPr>
        <w:rFonts w:ascii="Arial" w:hAnsi="Arial" w:cs="Arial"/>
        <w:b/>
        <w:bCs/>
        <w:szCs w:val="24"/>
      </w:rPr>
      <w:t>“</w:t>
    </w:r>
    <w:r w:rsidRPr="009E6025">
      <w:rPr>
        <w:rFonts w:ascii="Arial" w:hAnsi="Arial" w:cs="Arial"/>
        <w:b/>
        <w:bCs/>
        <w:szCs w:val="24"/>
      </w:rPr>
      <w:t>C-Suite</w:t>
    </w:r>
    <w:r w:rsidR="003D7D93">
      <w:rPr>
        <w:rFonts w:ascii="Arial" w:hAnsi="Arial" w:cs="Arial"/>
        <w:b/>
        <w:bCs/>
        <w:szCs w:val="24"/>
      </w:rPr>
      <w:t>”</w:t>
    </w:r>
    <w:r w:rsidRPr="009E6025">
      <w:rPr>
        <w:rFonts w:ascii="Arial" w:hAnsi="Arial" w:cs="Arial"/>
        <w:b/>
        <w:bCs/>
        <w:szCs w:val="24"/>
      </w:rPr>
      <w:t xml:space="preserve"> Briefing</w:t>
    </w:r>
  </w:p>
  <w:p w14:paraId="11EE8C2B" w14:textId="17154507" w:rsidR="009E6025" w:rsidRPr="009E6025" w:rsidRDefault="009E6025">
    <w:pPr>
      <w:pStyle w:val="Header"/>
      <w:rPr>
        <w:b/>
        <w:bCs/>
      </w:rPr>
    </w:pPr>
    <w:r>
      <w:rPr>
        <w:b/>
        <w:bCs/>
      </w:rPr>
      <w:t>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4605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12681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68"/>
    <w:rsid w:val="002675E1"/>
    <w:rsid w:val="00267C5C"/>
    <w:rsid w:val="002E4393"/>
    <w:rsid w:val="002E5B68"/>
    <w:rsid w:val="003D7D93"/>
    <w:rsid w:val="00430F4B"/>
    <w:rsid w:val="00522C4F"/>
    <w:rsid w:val="009E6025"/>
    <w:rsid w:val="00B1339F"/>
    <w:rsid w:val="00B25FA4"/>
    <w:rsid w:val="00C55754"/>
    <w:rsid w:val="00E50BE2"/>
    <w:rsid w:val="00ED0F93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3816"/>
  <w15:chartTrackingRefBased/>
  <w15:docId w15:val="{B14108E5-9793-402C-AF12-708CC2B7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B68"/>
    <w:pPr>
      <w:spacing w:after="120" w:line="240" w:lineRule="auto"/>
    </w:pPr>
    <w:rPr>
      <w:rFonts w:ascii="Adobe Garamond Pro" w:eastAsia="Times New Roman" w:hAnsi="Adobe Garamond Pr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0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6025"/>
    <w:rPr>
      <w:rFonts w:ascii="Adobe Garamond Pro" w:eastAsia="Times New Roman" w:hAnsi="Adobe Garamond Pr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E60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6025"/>
    <w:rPr>
      <w:rFonts w:ascii="Adobe Garamond Pro" w:eastAsia="Times New Roman" w:hAnsi="Adobe Garamond Pr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Enterprise Architecture - A One Day C-Suite Briefing</vt:lpstr>
    </vt:vector>
  </TitlesOfParts>
  <Company>EACOE - Enterprise Architecture Center Of Excellence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Enterprise Architecture - A One Day C-Suite Briefing</dc:title>
  <dc:subject>Enterprise Architecture</dc:subject>
  <dc:creator>Samuel Holcman</dc:creator>
  <cp:keywords>Enterprise Architecture, Methodology, Framework</cp:keywords>
  <dc:description>www.EACOE.org_x000d_
(810) 231-0531</dc:description>
  <cp:lastModifiedBy>Samuel Holcman</cp:lastModifiedBy>
  <cp:revision>9</cp:revision>
  <dcterms:created xsi:type="dcterms:W3CDTF">2022-05-27T20:05:00Z</dcterms:created>
  <dcterms:modified xsi:type="dcterms:W3CDTF">2022-05-27T20:44:00Z</dcterms:modified>
  <cp:category>Architectures Center Of Excellence (ACOE)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Copyright - EACOE - ALL RIGHTS RESERVED</vt:lpwstr>
  </property>
</Properties>
</file>